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1213964639258703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HSV2-TPK-2026-04-06-UNASSIGNED-RF-M02_ASM_Risk_Indi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1213964639258703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RF-M02 | ASM Risk Indicators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1213964639258703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https://app.asana.com/1/1213645083721316/project/1213908611350810/task/1213964639258703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ASM red flags: volumes inconsistent with capacity, no permits, purity inconsistent with ASM, child/forced labour, no certified programme, middlemen without mine relationships, below-market pricing.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 Sec. III; ILO Convention 182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RF-M02 | ASM Risk Indicators - ENTITY: MADISON LLC ASM red flags: volumes inconsistent with capacity, no permits, purity inconsistent with ASM, child/forced labour, no certified programme, middlemen without mine relationships, below-market pricing. Regulatory Basis: LBMA RGG v9 Step 3; OECD DDG Supplement on Gold Sec. III; ILO Convention 182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