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HSV2-TPK-2026-04-06-UNASSIGNED-RF-M02_ASM_Risk_Indi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1213964639470768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RF-M02 | ASM Risk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https://app.asana.com/1/1213645083721316/project/1213908827982041/task/1213964639470768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ASM red flags: volumes inconsistent with capacity, no permits, purity inconsistent with ASM, child/forced labour, no certified programme, middlemen without mine relationships, below-market pricing.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Supplement on Gold Sec. III;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RF-M02 | ASM Risk Indicators - ENTITY: NAPLES LLC ASM red flags: volumes inconsistent with capacity, no permits, purity inconsistent with ASM, child/forced labour, no certified programme, middlemen without mine relationships, below-market pricing. Regulatory Basis: LBMA RGG v9 Step 3; OECD DDG Supplement on Gold Sec. III;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