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1213965323410105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HSV2-TPK-2026-04-06-UNASSIGNED-RF-M02_ASM_Risk_Indi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1213965323410105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RF-M02 | ASM Risk Indicators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1213965323410105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https://app.asana.com/1/1213645083721316/project/1213908611400789/task/1213965323410105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ASM red flags: volumes inconsistent with capacity, no permits, purity inconsistent with ASM, child/forced labour, no certified programme, middlemen without mine relationships, below-market pricing.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Supplement on Gold Sec. III; ILO Convention 182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RF-M02 | ASM Risk Indicators - ENTITY: GRAMALTIN AS ASM red flags: volumes inconsistent with capacity, no permits, purity inconsistent with ASM, child/forced labour, no certified programme, middlemen without mine relationships, below-market pricing. Regulatory Basis: LBMA RGG v9 Step 3; OECD DDG Supplement on Gold Sec. III; ILO Convention 182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