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1213959824594178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HSV2-TPK-2026-04-06-UNASSIGNED-RF-M03_LSM_Legitimac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1213959824594178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RF-M03 | LSM Legitimacy Verification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1213959824594178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https://app.asana.com/1/1213645083721316/project/1213908508433868/task/1213959824594178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LSM red flags: expired/suspended licence, weak governance jurisdiction (CPI&lt;40), environmental violations, sanctioned ownership, production volume discrepancy, disputed territory.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Steps 2-3; OECD DDG Annex II; UAE FDL No.(10) of 2025 Art. 16; FATF Rec. 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 LSM red flags: expired/suspended licence, weak governance jurisdiction (CPI&lt;40), environmental violations, sanctioned ownership, production volume discrepancy, disputed territory. Regulatory Basis: LBMA RGG v9 Steps 2-3; OECD DDG Annex II; UAE FDL No.(10) of 2025 Art. 16; FATF Rec. 12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