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HSV2-TPK-2026-04-06-UNASSIGNED-RF-M03_LSM_Legitimac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RF-M03 | LSM Legitimacy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LSM red flags: expired/suspended licence, weak governance jurisdiction (CPI&lt;40), environmental violations, sanctioned ownership, production volume discrepancy, disputed territory.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OECD DDG Annex II; UAE FDL No.(10) of 2025 Art. 16;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RF-M03 | LSM Legitimacy Verification - ENTITY: ZOE FZE LSM red flags: expired/suspended licence, weak governance jurisdiction (CPI&lt;40), environmental violations, sanctioned ownership, production volume discrepancy, disputed territory. Regulatory Basis: LBMA RGG v9 Steps 2-3; OECD DDG Annex II; UAE FDL No.(10) of 2025 Art. 16;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