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HSV2-TPK-2026-04-06-UNASSIGNED-RF-M03_LSM_Legitimac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RF-M03 | LSM Legitimacy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LSM red flags: expired/suspended licence, weak governance jurisdiction (CPI&lt;40), environmental violations, sanctioned ownership, production volume discrepancy, disputed territory.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OECD DDG Annex II; UAE FDL No.(10) of 2025 Art. 16;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RF-M03 | LSM Legitimacy Verification - ENTITY: FG LLC LSM red flags: expired/suspended licence, weak governance jurisdiction (CPI&lt;40), environmental violations, sanctioned ownership, production volume discrepancy, disputed territory. Regulatory Basis: LBMA RGG v9 Steps 2-3; OECD DDG Annex II; UAE FDL No.(10) of 2025 Art. 16;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