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1213964639258702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HSV2-TPK-2026-04-06-UNASSIGNED-RF-M03_LSM_Legitimac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1213964639258702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RF-M03 | LSM Legitimacy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1213964639258702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https://app.asana.com/1/1213645083721316/project/1213908611350810/task/1213964639258702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LSM red flags: expired/suspended licence, weak governance jurisdiction (CPI&lt;40), environmental violations, sanctioned ownership, production volume discrepancy, disputed territory.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OECD DDG Annex II; UAE FDL No.(10) of 2025 Art. 16;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RF-M03 | LSM Legitimacy Verification - ENTITY: MADISON LLC LSM red flags: expired/suspended licence, weak governance jurisdiction (CPI&lt;40), environmental violations, sanctioned ownership, production volume discrepancy, disputed territory. Regulatory Basis: LBMA RGG v9 Steps 2-3; OECD DDG Annex II; UAE FDL No.(10) of 2025 Art. 16;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