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1213964639470767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HSV2-TPK-2026-04-06-UNASSIGNED-RF-M03_LSM_Legitimac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1213964639470767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RF-M03 | LSM Legitimacy Verification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1213964639470767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https://app.asana.com/1/1213645083721316/project/1213908827982041/task/1213964639470767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LSM red flags: expired/suspended licence, weak governance jurisdiction (CPI&lt;40), environmental violations, sanctioned ownership, production volume discrepancy, disputed territory.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Steps 2-3; OECD DDG Annex II; UAE FDL No.(10) of 2025 Art. 16;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RF-M03 | LSM Legitimacy Verification - ENTITY: NAPLES LLC LSM red flags: expired/suspended licence, weak governance jurisdiction (CPI&lt;40), environmental violations, sanctioned ownership, production volume discrepancy, disputed territory. Regulatory Basis: LBMA RGG v9 Steps 2-3; OECD DDG Annex II; UAE FDL No.(10) of 2025 Art. 16; FATF Rec. 12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