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HSV2-TPK-2026-04-06-UNASSIGNED-RF-M03_LSM_Legitimac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RF-M03 | LSM Legitimacy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LSM red flags: expired/suspended licence, weak governance jurisdiction (CPI&lt;40), environmental violations, sanctioned ownership, production volume discrepancy, disputed territory.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OECD DDG Annex II; UAE FDL No.(10) of 2025 Art. 16;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RF-M03 | LSM Legitimacy Verification - ENTITY: GRAMALTIN AS LSM red flags: expired/suspended licence, weak governance jurisdiction (CPI&lt;40), environmental violations, sanctioned ownership, production volume discrepancy, disputed territory. Regulatory Basis: LBMA RGG v9 Steps 2-3; OECD DDG Annex II; UAE FDL No.(10) of 2025 Art. 16;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