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HSV2-TPK-2026-04-06-UNASSIGNED-RF-M04_Country-of-Or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RF-M04 | Country-of-Origin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CoO red flags: generic certificates, non-existent mines referenced, chain of custody breaks, multiple unverified origins, unrecognized certificate issuers, refusal to disclose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1; FATF Guidance for DPMS (2020) Sec. 3.2;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RF-M04 | Country-of-Origin Documentation Gaps - ENTITY: MADISON LLC CoO red flags: generic certificates, non-existent mines referenced, chain of custody breaks, multiple unverified origins, unrecognized certificate issuers, refusal to disclose mine. Regulatory Basis: LBMA RGG v9 Step 3; OECD DDG Step 1; FATF Guidance for DPMS (2020) Sec. 3.2;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