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1213965323410103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HSV2-TPK-2026-04-06-UNASSIGNED-RF-M04_Country-of-Or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1213965323410103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RF-M04 | Country-of-Origin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1213965323410103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https://app.asana.com/1/1213645083721316/project/1213908611400789/task/1213965323410103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CoO red flags: generic certificates, non-existent mines referenced, chain of custody breaks, multiple unverified origins, unrecognized certificate issuers, refusal to disclose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1; FATF Guidance for DPMS (2020) Sec. 3.2;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RF-M04 | Country-of-Origin Documentation Gaps - ENTITY: GRAMALTIN AS CoO red flags: generic certificates, non-existent mines referenced, chain of custody breaks, multiple unverified origins, unrecognized certificate issuers, refusal to disclose mine. Regulatory Basis: LBMA RGG v9 Step 3; OECD DDG Step 1; FATF Guidance for DPMS (2020) Sec. 3.2;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