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HSV2-TPK-2026-04-06-UNASSIGNED-RF-M05_Armed_Group_F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1213959824594176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RF-M05 | Armed Group Financing Through Mined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Armed group indicators: mines in armed-group controlled areas, taxation/extortion at mine sites, UN Group of Experts-identified mines, transport through armed checkpoints, UN arms embargo areas.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 Annex II Sec. 1; UNSC Resolutions; UAE FDL No.(10) of 2025 Art. 5-6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Armed group indicators: mines in armed-group controlled areas, taxation/extortion at mine sites, UN Group of Experts-identified mines, transport through armed checkpoints, UN arms embargo areas. Regulatory Basis: LBMA RGG v9 Step 2 Annex II; OECD DDG Annex II Sec. 1; UNSC Resolutions; UAE FDL No.(10) of 2025 Art. 5-6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