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HSV2-TPK-2026-04-06-UNASSIGNED-RF-M06_Human_Rights_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RF-M06 | Human Rights Abuses at Mine Sites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flags: child labour (ILO 182), forced labour/debt bondage, community displacement, miner fatalities, mercury without controls, refusal of inspections, local protests.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2; UN Guiding Principles on Business and Human Rights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Red flags: child labour (ILO 182), forced labour/debt bondage, community displacement, miner fatalities, mercury without controls, refusal of inspections, local protests. Regulatory Basis: LBMA RGG v9 Step 2 Annex II; OECD DDG Annex II Sec. 2; UN Guiding Principles on Business and Human Rights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