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HSV2-TPK-2026-04-06-UNASSIGNED-RF-M06_Human_Rights_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RF-M06 | Human Rights Abuses at Mine Sites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flags: child labour (ILO 182), forced labour/debt bondage, community displacement, miner fatalities, mercury without controls, refusal of inspections, local protests.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 Annex II Sec. 2; UN Guiding Principles on Business and Human Rights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RF-M06 | Human Rights Abuses at Mine Sites - ENTITY: ZOE FZE Red flags: child labour (ILO 182), forced labour/debt bondage, community displacement, miner fatalities, mercury without controls, refusal of inspections, local protests. Regulatory Basis: LBMA RGG v9 Step 2 Annex II; OECD DDG Annex II Sec. 2; UN Guiding Principles on Business and Human Rights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