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1213964639258699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HSV2-TPK-2026-04-06-UNASSIGNED-RF-M06_Human_Rights_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1213964639258699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RF-M06 | Human Rights Abuses at Mine Sites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1213964639258699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https://app.asana.com/1/1213645083721316/project/1213908611350810/task/1213964639258699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flags: child labour (ILO 182), forced labour/debt bondage, community displacement, miner fatalities, mercury without controls, refusal of inspections, local protests.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 Annex II Sec. 2; UN Guiding Principles on Business and Human Rights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RF-M06 | Human Rights Abuses at Mine Sites - ENTITY: MADISON LLC Red flags: child labour (ILO 182), forced labour/debt bondage, community displacement, miner fatalities, mercury without controls, refusal of inspections, local protests. Regulatory Basis: LBMA RGG v9 Step 2 Annex II; OECD DDG Annex II Sec. 2; UN Guiding Principles on Business and Human Rights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