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HSV2-TPK-2026-04-06-UNASSIGNED-RF-M06_Human_Rights_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RF-M06 | Human Rights Abuses at Mine Sites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flags: child labour (ILO 182), forced labour/debt bondage, community displacement, miner fatalities, mercury without controls, refusal of inspections, local protests.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2; UN Guiding Principles on Business and Human Rights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RF-M06 | Human Rights Abuses at Mine Sites - ENTITY: NAPLES LLC Red flags: child labour (ILO 182), forced labour/debt bondage, community displacement, miner fatalities, mercury without controls, refusal of inspections, local protests. Regulatory Basis: LBMA RGG v9 Step 2 Annex II; OECD DDG Annex II Sec. 2; UN Guiding Principles on Business and Human Rights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