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1213965323410101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HSV2-TPK-2026-04-06-UNASSIGNED-RF-M06_Human_Rights_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1213965323410101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RF-M06 | Human Rights Abuses at Mine Sites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1213965323410101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https://app.asana.com/1/1213645083721316/project/1213908611400789/task/1213965323410101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flags: child labour (ILO 182), forced labour/debt bondage, community displacement, miner fatalities, mercury without controls, refusal of inspections, local protests.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 Annex II Sec. 2; UN Guiding Principles on Business and Human Rights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RF-M06 | Human Rights Abuses at Mine Sites - ENTITY: GRAMALTIN AS Red flags: child labour (ILO 182), forced labour/debt bondage, community displacement, miner fatalities, mercury without controls, refusal of inspections, local protests. Regulatory Basis: LBMA RGG v9 Step 2 Annex II; OECD DDG Annex II Sec. 2; UN Guiding Principles on Business and Human Rights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