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1213964638919239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HSV2-TPK-2026-04-06-UNASSIGNED-RF-M08_Mine-to-Refin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1213964638919239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RF-M08 | Mine-to-Refinery Chain of Custody Integrity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1213964638919239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https://app.asana.com/1/1213645083721316/project/1213909833048586/task/1213964638919239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CoC manipulation: weight discrepancies, transport documentation gaps, unverified aggregation, unregulated smelters, FTZ origin laundering, no sealed container protocols.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Step 3; FATF Guidance for DPMS (2020) Sec. 3.2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RF-M08 | Mine-to-Refinery Chain of Custody Integrity - ENTITY: FG LLC CoC manipulation: weight discrepancies, transport documentation gaps, unverified aggregation, unregulated smelters, FTZ origin laundering, no sealed container protocols. Regulatory Basis: LBMA RGG v9 Step 3; OECD DDG Step 3; FATF Guidance for DPMS (2020) Sec. 3.2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