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1213964639258697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HSV2-TPK-2026-04-06-UNASSIGNED-RF-M08_Mine-to-Refin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1213964639258697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RF-M08 | Mine-to-Refinery Chain of Custody Integrity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1213964639258697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https://app.asana.com/1/1213645083721316/project/1213908611350810/task/1213964639258697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CoC manipulation: weight discrepancies, transport documentation gaps, unverified aggregation, unregulated smelters, FTZ origin laundering, no sealed container protocols.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Step 3; FATF Guidance for DPMS (2020) Sec. 3.2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RF-M08 | Mine-to-Refinery Chain of Custody Integrity - ENTITY: MADISON LLC CoC manipulation: weight discrepancies, transport documentation gaps, unverified aggregation, unregulated smelters, FTZ origin laundering, no sealed container protocols. Regulatory Basis: LBMA RGG v9 Step 3; OECD DDG Step 3; FATF Guidance for DPMS (2020) Sec. 3.2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