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HSV2-TPK-2026-04-06-UNASSIGNED-RF-M08_Mine-to-Refin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RF-M08 | Mine-to-Refinery Chain of Custody Integrity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CoC manipulation: weight discrepancies, transport documentation gaps, unverified aggregation, unregulated smelters, FTZ origin laundering, no sealed container protocols.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3;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RF-M08 | Mine-to-Refinery Chain of Custody Integrity - ENTITY: NAPLES LLC CoC manipulation: weight discrepancies, transport documentation gaps, unverified aggregation, unregulated smelters, FTZ origin laundering, no sealed container protocols. Regulatory Basis: LBMA RGG v9 Step 3; OECD DDG Step 3; FATF Guidance for DPMS (2020) Sec. 3.2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