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1213965323410099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HSV2-TPK-2026-04-06-UNASSIGNED-RF-M08_Mine-to-Refin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1213965323410099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RF-M08 | Mine-to-Refinery Chain of Custody Integrity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1213965323410099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https://app.asana.com/1/1213645083721316/project/1213908611400789/task/1213965323410099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CoC manipulation: weight discrepancies, transport documentation gaps, unverified aggregation, unregulated smelters, FTZ origin laundering, no sealed container protocols.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Step 3;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RF-M08 | Mine-to-Refinery Chain of Custody Integrity - ENTITY: GRAMALTIN AS CoC manipulation: weight discrepancies, transport documentation gaps, unverified aggregation, unregulated smelters, FTZ origin laundering, no sealed container protocols. Regulatory Basis: LBMA RGG v9 Step 3; OECD DDG Step 3; FATF Guidance for DPMS (2020) Sec. 3.2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