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HSV2-TPK-2026-04-06-UNASSIGNED-RF-M09_State-Owned_M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RF-M09 | State-Owned Mine and Government-Linked Production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Government-linked: sanctioned jurisdiction state mines, sanctioned official-linked entities, state revenues funding conflict, opaque production data, government interference in audits.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FATF Rec. 6-7; LBMA RGG v9 Step 2; OFAC Advisory on Gold (2022)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RF-M09 | State-Owned Mine and Government-Linked Production - ENTITY: MADISON LLC Government-linked: sanctioned jurisdiction state mines, sanctioned official-linked entities, state revenues funding conflict, opaque production data, government interference in audits. Regulatory Basis: Cabinet Resolution 74/2020; FATF Rec. 6-7; LBMA RGG v9 Step 2; OFAC Advisory on Gold (2022)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