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HSV2-TPK-2026-04-06-UNASSIGNED-RF-M09_State-Owned_M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RF-M09 | State-Owned Mine and Government-Linked Production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Government-linked: sanctioned jurisdiction state mines, sanctioned official-linked entities, state revenues funding conflict, opaque production data, government interference in audits.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FATF Rec. 6-7; LBMA RGG v9 Step 2; OFAC Advisory on Gold (2022)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RF-M09 | State-Owned Mine and Government-Linked Production - ENTITY: GRAMALTIN AS Government-linked: sanctioned jurisdiction state mines, sanctioned official-linked entities, state revenues funding conflict, opaque production data, government interference in audits. Regulatory Basis: Cabinet Resolution 74/2020; FATF Rec. 6-7; LBMA RGG v9 Step 2; OFAC Advisory on Gold (2022)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