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HSV2-TPK-2026-04-06-UNASSIGNED-RF-M12_Mined_Gold_Vo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RF-M12 | Mined Gold Volume and Pricing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Anomalies: volumes exceeding mine capacity, below-market pricing, sudden supplier volume increase, fixed prices, near-threshold amounts, no assay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Guidance for DPMS (2020) Sec. 4.2; UAE FDL No.(10) of 2025 Art. 15-16;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Anomalies: volumes exceeding mine capacity, below-market pricing, sudden supplier volume increase, fixed prices, near-threshold amounts, no assay certification. Regulatory Basis: FATF Guidance for DPMS (2020) Sec. 4.2; UAE FDL No.(10) of 2025 Art. 15-16;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