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HSV2-TPK-2026-04-06-UNASSIGNED-RF-M12_Mined_Gold_Vo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RF-M12 | Mined Gold Volume and Pricing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Anomalies: volumes exceeding mine capacity, below-market pricing, sudden supplier volume increase, fixed prices, near-threshold amounts, no assay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Guidance for DPMS (2020) Sec. 4.2; UAE FDL No.(10) of 2025 Art. 15-16;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RF-M12 | Mined Gold Volume and Pricing Anomalies - ENTITY: FG LLC Anomalies: volumes exceeding mine capacity, below-market pricing, sudden supplier volume increase, fixed prices, near-threshold amounts, no assay certification. Regulatory Basis: FATF Guidance for DPMS (2020) Sec. 4.2; UAE FDL No.(10) of 2025 Art. 15-16;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