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HSV2-TPK-2026-04-06-UNASSIGNED-RF-M12_Mined_Gold_Vo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RF-M12 | Mined Gold Volume and Pricing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Anomalies: volumes exceeding mine capacity, below-market pricing, sudden supplier volume increase, fixed prices, near-threshold amounts, no assay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Guidance for DPMS (2020) Sec. 4.2; UAE FDL No.(10) of 2025 Art. 15-16;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RF-M12 | Mined Gold Volume and Pricing Anomalies - ENTITY: MADISON LLC Anomalies: volumes exceeding mine capacity, below-market pricing, sudden supplier volume increase, fixed prices, near-threshold amounts, no assay certification. Regulatory Basis: FATF Guidance for DPMS (2020) Sec. 4.2; UAE FDL No.(10) of 2025 Art. 15-16;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