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HSV2-TPK-2026-04-06-UNASSIGNED-RF-M12_Mined_Gold_Vo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RF-M12 | Mined Gold Volume and Pricing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Anomalies: volumes exceeding mine capacity, below-market pricing, sudden supplier volume increase, fixed prices, near-threshold amounts, no assay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Guidance for DPMS (2020) Sec. 4.2; UAE FDL No.(10) of 2025 Art. 15-16;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RF-M12 | Mined Gold Volume and Pricing Anomalies - ENTITY: NAPLES LLC Anomalies: volumes exceeding mine capacity, below-market pricing, sudden supplier volume increase, fixed prices, near-threshold amounts, no assay certification. Regulatory Basis: FATF Guidance for DPMS (2020) Sec. 4.2; UAE FDL No.(10) of 2025 Art. 15-16;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