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HSV2-TPK-2026-04-06-UNASSIGNED-RF-M12_Mined_Gold_Vo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RF-M12 | Mined Gold Volume and Pricing Anomalies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Anomalies: volumes exceeding mine capacity, below-market pricing, sudden supplier volume increase, fixed prices, near-threshold amounts, no assay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Guidance for DPMS (2020) Sec. 4.2; UAE FDL No.(10) of 2025 Art. 15-16;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RF-M12 | Mined Gold Volume and Pricing Anomalies - ENTITY: GRAMALTIN AS Anomalies: volumes exceeding mine capacity, below-market pricing, sudden supplier volume increase, fixed prices, near-threshold amounts, no assay certification. Regulatory Basis: FATF Guidance for DPMS (2020) Sec. 4.2; UAE FDL No.(10) of 2025 Art. 15-16;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