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COMPLIANCE PACK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 UNASSIGNED / Task 1213964639258692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=============================================================================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reference:   HSV2-TPK-2026-04-06-UNASSIGNED-RF-M13_Refinery_Proc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Classification:       Confidential. For MLRO review and regulator disclosure only.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Version:              1.0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    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on:         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Addressee:            LF, Money Laundering Reporting Officer (MLRO)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Coverage:             Pack generated for Asana task 1213964639258692 on 2026-04-06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Retention period:     10 years, in accordance with the applicable provision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of Federal Decree-Law No. 10 of 2025.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1. TASK IDENTIFICATION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name:         RF-M13 | Refinery Processing Without DD for Mined Material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reference:    1213964639258692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Project:           MADISON LLC - COMPLIANCE PROGRAMME 2026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Reporting entity:  UNASSIGNED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Assignee:          Luisa Fernanda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Created:           2026-04-05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Due date:          2026-10-03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Completed:         no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Asana permalink:   https://app.asana.com/1/1213645083721316/project/1213908611350810/task/1213964639258692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Task notes on file (first 1 000 characters):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ENTITY: MADISON LLC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Refinery red flags: not on Good Delivery list, accepts unknown sources, high-risk jurisdiction, previously delisted, refuses origin disclosure, high ASM volumes without certification.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Regulatory Basis: LBMA RGG v9 Steps 2-4; LBMA Good Delivery Rules; DMCC Rules; UAE FDL No.(10) of 2025 Art. 16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Priority: High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Section: MINED MATERIAL RED FLAGS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RF-M13 | Refinery Processing Without DD for Mined Material - ENTITY: MADISON LLC Refinery red flags: not on Good Delivery list, accepts unknown sources, high-risk jurisdiction, previously delisted, refuses origin disclosure, high ASM volumes without certification. Regulatory Basis: LBMA RGG v9 Steps 2-4; LBMA Good Delivery Rules; DMCC Rules; UAE FDL No.(10) of 2025 Art. 16 Priority: High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file: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MADISON_LLC_BATCH_3_of_4.csv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2. AUTOMATION PRE-SCREEN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automation pre-scan did not match any typology keyword in the task name or notes.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pre-scan is advisory only. The compliance function remains responsible for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the final typology assessment and for any filing decision.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3. CUSTOMER IDENTIFICATION AND DUE DILIGENCE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Full legal name of customer or counterparty: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Trading name, if different: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type:                                [ natural person ] [ legal person ] [ arrangement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Nationality or place of incorporation: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birth or incorporation date: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Identification document type:                 [ passport ] [ Emirates ID ] [ trade licence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number: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issue date: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expiry date: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Address of record: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Beneficial owner(s) identified: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funds stated by the customer: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Source of wealth stated by the customer: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CDD depth applied:                            [ simplified ] [ standard ] [ enhanced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status:                                   [ yes ] [ no ]   if yes, attach the PEP screen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reviewed:         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Customer risk rating assigned:                [ low ] [ medium ] [ high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latest CDD review: 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4. TRANSACTION DETAILS (if the task concerns a specific transaction)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date: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Transaction type:                 [ cash purchase ] [ cash sale ] [ trade-in ] [ refining ] [ other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Item description: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Assay or certification reference: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Total consideration (AED):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Cash component (AED):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Non-cash component and method: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Counterparty role in transaction: [ buyer ] [ seller ] [ agent ] [ introducer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Aggregation applied: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Rolling thirty-day aggregated AED:[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DPMSR threshold assessment:       [ below ] [ at or above ] the cash transaction threshold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                                specified by the DPMSR framework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5. RED-FLAG ASSESSMENT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Red flag identified:              [ yes ] [ no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Typology cited:           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Narrative of concern (short paragraphs, facts only):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6. SANCTIONS AND PEP SCREENING RECORD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UNSC Consolidated List screen: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UAE Local Terrorist List screen (EOCN):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PEP source list screen:                   [ clear ] [ potential match ] [ confirmed match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Adverse media screen:                     [ clear ] [ adverse hit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date:        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Screen performed by:        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Evidence reference in the archive: 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7. FILING DECISION MATRIX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Does this matter require a filing to the Financial Intelligence Unit through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platform?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Transaction Report (STR)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Suspicious Activity Report (SAR)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Dealers in Precious Metals and Stones Report (DPMSR)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Partial Name Match Report (PNMR)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Funds Freeze Report (FFR)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 ] No filing required at this stage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Filing reference assigned internally: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Internal filing deadline:       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submission date, if filed:       [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goAML receipt reference, if filed: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8. MLRO DECISION AND SIGN-OFF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MLRO decision:          [ file ] [ do not file ] [ further review requested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 of decision:       [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Reasoning (one short paragraph, factual):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  [                                                                                    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Decided by:   LF, Money Laundering Reporting Officer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Signature:    __________________________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Date:         __________________________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SECTION 9. RETENTION AND CONFIDENTIALITY NOTE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This pack and every supporting document are retained for a minimum of 10 years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in accordance with the applicable provision of Federal Decree-Law No. 10 of 2025. Access is restricted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to the MLRO, the compliance function and any authorised representative of the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Ministry of Economy or the Financial Intelligence Unit acting in an official capacity.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DOCUMENT SIGN-OFF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-----------------------------------------------------------------------------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Prepared by:   Compliance function, the Reporting Entity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Reviewed by:   [awaiting MLRO review]</w:t>
      </w:r>
    </w:p>
    <w:p>
      <w:pPr>
        <w:spacing w:after="0"/>
      </w:pPr>
      <w:r>
        <w:rPr>
          <w:rFonts w:ascii="Courier New" w:hAnsi="Courier New" w:cs="Courier New"/>
          <w:sz w:val="20"/>
        </w:rPr>
        <w:t xml:space="preserve">Approved by:   [awaiting MLRO approval]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For review by the MLRO, LF.</w:t>
      </w:r>
    </w:p>
    <w:p>
      <w:pPr>
        <w:spacing w:after="0"/>
      </w:pPr>
    </w:p>
    <w:p>
      <w:pPr>
        <w:spacing w:after="0"/>
      </w:pPr>
      <w:r>
        <w:rPr>
          <w:rFonts w:ascii="Courier New" w:hAnsi="Courier New" w:cs="Courier New"/>
          <w:sz w:val="20"/>
        </w:rPr>
        <w:t xml:space="preserve">[End of document]</w:t>
      </w:r>
    </w:p>
    <w:sectPr>
      <w:pgSz w:w="12240" w:h="15840"/>
      <w:pgMar w:top="1080" w:right="1080" w:bottom="1080" w:left="1080" w:header="720" w:footer="720" w:gutter="0"/>
    </w:sectPr>
  </w:body>
</w:document>
</file>