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HSV2-TPK-2026-04-06-UNASSIGNED-RF-R02_Scrap_Gold_La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1213959824594166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RF-R02 | Scrap Gold Laundering Through Recycling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1213959824594166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https://app.asana.com/1/1213645083721316/project/1213908508433868/task/1213959824594166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 via scrap: large cash purchases from walk-ins, no seller ID, structured below AED 55,000, multiple individuals for undisclosed principal, high purity inconsistent with scrap, immediate resale.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Guidance for DPMS (2020) Sec. 4.2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ML via scrap: large cash purchases from walk-ins, no seller ID, structured below AED 55,000, multiple individuals for undisclosed principal, high purity inconsistent with scrap, immediate resale. Regulatory Basis: UAE FDL No.(10) of 2025 Art. 15-16; Cabinet Resolution 134/2025 Art. 17; FATF Guidance for DPMS (2020) Sec. 4.2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