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HSV2-TPK-2026-04-06-UNASSIGNED-RF-R02_Scrap_Gold_La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RF-R02 | Scrap Gold Laundering Through Recycling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 via scrap: large cash purchases from walk-ins, no seller ID, structured below AED 55,000, multiple individuals for undisclosed principal, high purity inconsistent with scrap, immediate resale.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RF-R02 | Scrap Gold Laundering Through Recycling - ENTITY: MADISON LLC ML via scrap: large cash purchases from walk-ins, no seller ID, structured below AED 55,000, multiple individuals for undisclosed principal, high purity inconsistent with scrap, immediate resale. Regulatory Basis: UAE FDL No.(10) of 2025 Art. 15-16; Cabinet Resolution 134/2025 Art.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