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1213964639470755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HSV2-TPK-2026-04-06-UNASSIGNED-RF-R02_Scrap_Gold_La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1213964639470755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RF-R02 | Scrap Gold Laundering Through Recycling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1213964639470755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https://app.asana.com/1/1213645083721316/project/1213908827982041/task/1213964639470755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 via scrap: large cash purchases from walk-ins, no seller ID, structured below AED 55,000, multiple individuals for undisclosed principal, high purity inconsistent with scrap, immediate resale.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15-16; Cabinet Resolution 134/2025 Art. 17; FATF Guidance for DPMS (2020) Sec. 4.2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RF-R02 | Scrap Gold Laundering Through Recycling - ENTITY: NAPLES LLC ML via scrap: large cash purchases from walk-ins, no seller ID, structured below AED 55,000, multiple individuals for undisclosed principal, high purity inconsistent with scrap, immediate resale. Regulatory Basis: UAE FDL No.(10) of 2025 Art. 15-16; Cabinet Resolution 134/2025 Art. 17; FATF Guidance for DPMS (2020) Sec. 4.2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