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HSV2-TPK-2026-04-06-UNASSIGNED-RF-R03_Melting_to_Ob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RF-R03 | Melting to Obscure Origin (Gold Laundering)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Melting indicators: requests to remove hallmarks/serial numbers, defaced bars, branded to generic conversion, hallmarks from sanctioned jurisdictions, re-assay to destroy CoC, recent melt marks.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UAE FDL No.(10) of 2025 Art. 4; FATF Guidance for DPMS (2020) Sec. 3.2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Melting indicators: requests to remove hallmarks/serial numbers, defaced bars, branded to generic conversion, hallmarks from sanctioned jurisdictions, re-assay to destroy CoC, recent melt marks. Regulatory Basis: LBMA RGG v9 Step 3; UAE FDL No.(10) of 2025 Art. 4; FATF Guidance for DPMS (2020) Sec. 3.2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