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1213964638835782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HSV2-TPK-2026-04-06-UNASSIGNED-RF-R03_Melting_to_Ob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1213964638835782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RF-R03 | Melting to Obscure Origin (Gold Laundering)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1213964638835782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https://app.asana.com/1/1213645083721316/project/1213909833048586/task/1213964638835782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Melting indicators: requests to remove hallmarks/serial numbers, defaced bars, branded to generic conversion, hallmarks from sanctioned jurisdictions, re-assay to destroy CoC, recent melt marks.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UAE FDL No.(10) of 2025 Art. 4; FATF Guidance for DPMS (2020) Sec. 3.2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RF-R03 | Melting to Obscure Origin (Gold Laundering) - ENTITY: FG LLC Melting indicators: requests to remove hallmarks/serial numbers, defaced bars, branded to generic conversion, hallmarks from sanctioned jurisdictions, re-assay to destroy CoC, recent melt marks. Regulatory Basis: LBMA RGG v9 Step 3; UAE FDL No.(10) of 2025 Art. 4; FATF Guidance for DPMS (2020) Sec. 3.2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