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1213964639258689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HSV2-TPK-2026-04-06-UNASSIGNED-RF-R03_Melting_to_Ob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1213964639258689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RF-R03 | Melting to Obscure Origin (Gold Laundering)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1213964639258689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https://app.asana.com/1/1213645083721316/project/1213908611350810/task/1213964639258689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Melting indicators: requests to remove hallmarks/serial numbers, defaced bars, branded to generic conversion, hallmarks from sanctioned jurisdictions, re-assay to destroy CoC, recent melt marks.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UAE FDL No.(10) of 2025 Art. 4; FATF Guidance for DPMS (2020) Sec. 3.2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RF-R03 | Melting to Obscure Origin (Gold Laundering) - ENTITY: MADISON LLC Melting indicators: requests to remove hallmarks/serial numbers, defaced bars, branded to generic conversion, hallmarks from sanctioned jurisdictions, re-assay to destroy CoC, recent melt marks. Regulatory Basis: LBMA RGG v9 Step 3; UAE FDL No.(10) of 2025 Art. 4; FATF Guidance for DPMS (2020) Sec. 3.2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