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HSV2-TPK-2026-04-06-UNASSIGNED-RF-R03_Melting_to_Ob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RF-R03 | Melting to Obscure Origin (Gold Laundering)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Melting indicators: requests to remove hallmarks/serial numbers, defaced bars, branded to generic conversion, hallmarks from sanctioned jurisdictions, re-assay to destroy CoC, recent melt 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UAE FDL No.(10) of 2025 Art. 4;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RF-R03 | Melting to Obscure Origin (Gold Laundering) - ENTITY: NAPLES LLC Melting indicators: requests to remove hallmarks/serial numbers, defaced bars, branded to generic conversion, hallmarks from sanctioned jurisdictions, re-assay to destroy CoC, recent melt marks. Regulatory Basis: LBMA RGG v9 Step 3; UAE FDL No.(10) of 2025 Art. 4; FATF Guidance for DPMS (2020) Sec. 3.2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