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1213965323410091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HSV2-TPK-2026-04-06-UNASSIGNED-RF-R03_Melting_to_Ob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1213965323410091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RF-R03 | Melting to Obscure Origin (Gold Laundering)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1213965323410091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https://app.asana.com/1/1213645083721316/project/1213908611400789/task/1213965323410091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Melting indicators: requests to remove hallmarks/serial numbers, defaced bars, branded to generic conversion, hallmarks from sanctioned jurisdictions, re-assay to destroy CoC, recent melt marks.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UAE FDL No.(10) of 2025 Art. 4; FATF Guidance for DPMS (2020) Sec. 3.2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RF-R03 | Melting to Obscure Origin (Gold Laundering) - ENTITY: GRAMALTIN AS Melting indicators: requests to remove hallmarks/serial numbers, defaced bars, branded to generic conversion, hallmarks from sanctioned jurisdictions, re-assay to destroy CoC, recent melt marks. Regulatory Basis: LBMA RGG v9 Step 3; UAE FDL No.(10) of 2025 Art. 4; FATF Guidance for DPMS (2020) Sec. 3.2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