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1213962484202313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HSV2-TPK-2026-04-06-UNASSIGNED-RF-R04_E-Waste_Elect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1213962484202313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RF-R04 | E-Waste Electronic Scrap 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1213962484202313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https://app.asana.com/1/1213645083721316/project/1213908827982041/task/1213962484202313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E-waste: hazardous processing, no environmental permits, unregulated jurisdiction, inconsistent volumes, mixed sources, worker safety violations.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Basel Convention;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RF-R04 | E-Waste Electronic Scrap Gold Red Flags - ENTITY: NAPLES LLC E-waste: hazardous processing, no environmental permits, unregulated jurisdiction, inconsistent volumes, mixed sources, worker safety violations. Regulatory Basis: LBMA RGG v9 Recycled Gold Annex; Basel Convention;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