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1213964639258688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HSV2-TPK-2026-04-06-UNASSIGNED-RF-R04_E-Waste_Elect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1213964639258688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RF-R04 | E-Waste Electronic Scrap Gold Red Flags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1213964639258688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https://app.asana.com/1/1213645083721316/project/1213908611350810/task/1213964639258688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E-waste: hazardous processing, no environmental permits, unregulated jurisdiction, inconsistent volumes, mixed sources, worker safety violations.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Recycled Gold Annex; Basel Convention; OECD DDG; UAE FDL No.(10) of 2025 Art. 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RF-R04 | E-Waste Electronic Scrap Gold Red Flags - ENTITY: MADISON LLC E-waste: hazardous processing, no environmental permits, unregulated jurisdiction, inconsistent volumes, mixed sources, worker safety violations. Regulatory Basis: LBMA RGG v9 Recycled Gold Annex; Basel Convention; OECD DDG; UAE FDL No.(10) of 2025 Art. 4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