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1213965323410090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HSV2-TPK-2026-04-06-UNASSIGNED-RF-R04_E-Waste_Elect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1213965323410090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RF-R04 | E-Waste Electronic Scrap Gold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1213965323410090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https://app.asana.com/1/1213645083721316/project/1213908611400789/task/1213965323410090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E-waste: hazardous processing, no environmental permits, unregulated jurisdiction, inconsistent volumes, mixed sources, worker safety violations.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Recycled Gold Annex; Basel Convention; OECD DDG; UAE FDL No.(10) of 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RECYCLED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RF-R04 | E-Waste Electronic Scrap Gold Red Flags - ENTITY: GRAMALTIN AS E-waste: hazardous processing, no environmental permits, unregulated jurisdiction, inconsistent volumes, mixed sources, worker safety violations. Regulatory Basis: LBMA RGG v9 Recycled Gold Annex; Basel Convention; OECD DDG; UAE FDL No.(10) of 2025 Art. 4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