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1213959825119983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HSV2-TPK-2026-04-06-UNASSIGNED-RF-R05_Jewelry_Scrap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1213959825119983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RF-R05 | Jewelry Scrap Aggregation Without CDD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1213959825119983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https://app.asana.com/1/1213645083721316/project/1213908611350810/task/1213959825119983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Jewelry scrap: large volumes from unverified walk-ins, no seller ID recording, disproportionate volumes, antique jewelry at melt value (theft), cash without receipts, theft hotspot origins.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15-16; Cabinet Resolution 134/2025 Art. 8-9; FATF Guidance for DPMS (2020) Sec. 4.2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RF-R05 | Jewelry Scrap Aggregation Without CDD - ENTITY: MADISON LLC Jewelry scrap: large volumes from unverified walk-ins, no seller ID recording, disproportionate volumes, antique jewelry at melt value (theft), cash without receipts, theft hotspot origins. Regulatory Basis: UAE FDL No.(10) of 2025 Art. 15-16; Cabinet Resolution 134/2025 Art. 8-9; FATF Guidance for DPMS (2020) Sec. 4.2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recycledGold, dpmsrTrigger.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