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1213962483763650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HSV2-TPK-2026-04-06-UNASSIGNED-RF-R05_Jewelry_Scrap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1213962483763650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RF-R05 | Jewelry Scrap Aggregation Without CDD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1213962483763650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https://app.asana.com/1/1213645083721316/project/1213909833048586/task/1213962483763650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Jewelry scrap: large volumes from unverified walk-ins, no seller ID recording, disproportionate volumes, antique jewelry at melt value (theft), cash without receipts, theft hotspot origins.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15-16; Cabinet Resolution 134/2025 Art. 8-9; FATF Guidance for DPMS (2020) Sec. 4.2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RF-R05 | Jewelry Scrap Aggregation Without CDD - ENTITY: FG LLC Jewelry scrap: large volumes from unverified walk-ins, no seller ID recording, disproportionate volumes, antique jewelry at melt value (theft), cash without receipts, theft hotspot origins. Regulatory Basis: UAE FDL No.(10) of 2025 Art. 15-16; Cabinet Resolution 134/2025 Art. 8-9; FATF Guidance for DPMS (2020) Sec. 4.2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recycledGold, dpmsrTrigger.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