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BRANCHJewelry scrap: large volumes from unverified walk-ins, no seller ID recording, disproportionate volumes, antique jewelry at melt value (theft), cash without receipts, theft hotspot origins.Regulatory Basis: UAE FDL No.(10) of 2025 Art. 15-16; Cabinet Resolution 134/2025 Art. 8-9; FATF Guidance for DPMS (2020) Sec. 4.2Priority: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