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1213965323382564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HSV2-TPK-2026-04-06-UNASSIGNED-RF-R05_Jewelry_Scrap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1213965323382564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RF-R05 | Jewelry Scrap Aggregation Without CDD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1213965323382564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https://app.asana.com/1/1213645083721316/project/1213908611400789/task/1213965323382564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Jewelry scrap: large volumes from unverified walk-ins, no seller ID recording, disproportionate volumes, antique jewelry at melt value (theft), cash without receipts, theft hotspot origins.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15-16; Cabinet Resolution 134/2025 Art. 8-9; FATF Guidance for DPMS (2020) Sec. 4.2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 Jewelry scrap: large volumes from unverified walk-ins, no seller ID recording, disproportionate volumes, antique jewelry at melt value (theft), cash without receipts, theft hotspot origins. Regulatory Basis: UAE FDL No.(10) of 2025 Art. 15-16; Cabinet Resolution 134/2025 Art. 8-9; FATF Guidance for DPMS (2020) Sec. 4.2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cash, recycledGold, dpmsrTrigger.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