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HSV2-TPK-2026-04-06-UNASSIGNED-RF-R06_Industrial_Sc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1213959825119982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RF-R06 | Industrial Scrap Gold Processing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https://app.asana.com/1/1213645083721316/project/1213908611350810/task/1213959825119982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Industrial scrap: no waste transfer documentation, volumes exceed industrial activity, sanctioned industrial entities, inconsistent form/purity, no environmental permits, pricing anomalies.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RF-R06 | Industrial Scrap Gold Processing - ENTITY: MADISON LLC Industrial scrap: no waste transfer documentation, volumes exceed industrial activity, sanctioned industrial entities, inconsistent form/purity, no environmental permits, pricing anomalies. Regulatory Basis: LBMA RGG v9 Recycled Gold Annex; FATF Guidance for DPMS (2020) Sec. 3; UAE FDL No.(10) of 2025 Art. 16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