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HSV2-TPK-2026-04-06-UNASSIGNED-RF-R06_Industrial_Sc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RF-R06 | Industrial Scrap Gold Processing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Industrial scrap: no waste transfer documentation, volumes exceed industrial activity, sanctioned industrial entities, inconsistent form/purity, no environmental permits, pricing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LLCIndustrial scrap: no waste transfer documentation, volumes exceed industrial activity, sanctioned industrial entities, inconsistent form/purity, no environmental permits, pricing anomalies.Regulatory Basis: LBMA RGG v9 Recycled Gold Annex; FATF Guidance for DPMS (2020) Sec. 3; UAE FDL No.(10) of 2025 Art. 16Priority: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