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HSV2-TPK-2026-04-06-UNASSIGNED-RF-R06_Industrial_Sc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RF-R06 | Industrial Scrap Gold Processing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Industrial scrap: no waste transfer documentation, volumes exceed industrial activity, sanctioned industrial entities, inconsistent form/purity, no environmental permits, pricing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Industrial scrap: no waste transfer documentation, volumes exceed industrial activity, sanctioned industrial entities, inconsistent form/purity, no environmental permits, pricing anomalies. Regulatory Basis: LBMA RGG v9 Recycled Gold Annex; FATF Guidance for DPMS (2020) Sec. 3; UAE FDL No.(10) of 2025 Art. 16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