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RF-R07 | Recycled Gold from Theft or Proceeds of Crime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Stolen gold: removed serial numbers, no ownership proof, matches stolen property databases, below-market pricing, multiple similar items (organized theft), reported stolen mint products, false ID.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UAE Penal Code; FATF Rec. 3;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RF-R07 | Recycled Gold from Theft or Proceeds of Crime - ENTITY: MADISON LLC Stolen gold: removed serial numbers, no ownership proof, matches stolen property databases, below-market pricing, multiple similar items (organized theft), reported stolen mint products, false ID. Regulatory Basis: UAE FDL No.(10) of 2025 Art. 4; UAE Penal Code; FATF Rec. 3;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