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RF-R07 | Recycled Gold from Theft or Proceeds of Crime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Stolen gold: removed serial numbers, no ownership proof, matches stolen property databases, below-market pricing, multiple similar items (organized theft), reported stolen mint products, false ID.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UAE Penal Code; FATF Rec. 3;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LLCStolen gold: removed serial numbers, no ownership proof, matches stolen property databases, below-market pricing, multiple similar items (organized theft), reported stolen mint products, false ID.Regulatory Basis: UAE FDL No.(10) of 2025 Art. 4; UAE Penal Code; FATF Rec. 3; Cabinet Resolution 134/2025 Art. 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