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RF-R07 | Recycled Gold from Theft or Proceeds of Crime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Stolen gold: removed serial numbers, no ownership proof, matches stolen property databases, below-market pricing, multiple similar items (organized theft), reported stolen mint products, false ID.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UAE Penal Code; FATF Rec. 3;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BRANCHStolen gold: removed serial numbers, no ownership proof, matches stolen property databases, below-market pricing, multiple similar items (organized theft), reported stolen mint products, false ID.Regulatory Basis: UAE FDL No.(10) of 2025 Art. 4; UAE Penal Code; FATF Rec. 3; Cabinet Resolution 134/2025 Art. 4Priority: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